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66" w:rsidRPr="00E864E0" w:rsidRDefault="00863C66" w:rsidP="00863C66">
      <w:pPr>
        <w:pStyle w:val="KonuBal"/>
        <w:rPr>
          <w:rFonts w:ascii="Arial" w:hAnsi="Arial" w:cs="Arial"/>
          <w:sz w:val="22"/>
          <w:szCs w:val="22"/>
        </w:rPr>
      </w:pPr>
      <w:r w:rsidRPr="00E864E0">
        <w:rPr>
          <w:rFonts w:ascii="Arial" w:hAnsi="Arial" w:cs="Arial"/>
          <w:sz w:val="22"/>
          <w:szCs w:val="22"/>
        </w:rPr>
        <w:t>RADYO TELEVİZYON YAYINCILARI MESLEK BİRLİĞİ</w:t>
      </w:r>
    </w:p>
    <w:p w:rsidR="00863C66" w:rsidRPr="00E864E0" w:rsidRDefault="00863C66" w:rsidP="00863C66">
      <w:pPr>
        <w:jc w:val="center"/>
        <w:rPr>
          <w:rFonts w:cs="Arial"/>
          <w:b/>
          <w:bCs/>
        </w:rPr>
      </w:pPr>
      <w:r w:rsidRPr="00E864E0">
        <w:rPr>
          <w:rFonts w:cs="Arial"/>
          <w:b/>
          <w:bCs/>
        </w:rPr>
        <w:t>TİP YETKİ BELGESİ</w:t>
      </w:r>
    </w:p>
    <w:p w:rsidR="00863C66" w:rsidRDefault="00863C66" w:rsidP="00863C66">
      <w:pPr>
        <w:spacing w:line="276" w:lineRule="auto"/>
        <w:rPr>
          <w:rFonts w:cs="Arial"/>
        </w:rPr>
      </w:pPr>
    </w:p>
    <w:p w:rsidR="00863C66" w:rsidRPr="002D1669" w:rsidRDefault="00863C66" w:rsidP="00863C66">
      <w:pPr>
        <w:spacing w:line="276" w:lineRule="auto"/>
        <w:rPr>
          <w:rFonts w:cs="Arial"/>
        </w:rPr>
      </w:pPr>
      <w:proofErr w:type="gramStart"/>
      <w:r w:rsidRPr="002D1669">
        <w:rPr>
          <w:rFonts w:cs="Arial"/>
        </w:rPr>
        <w:t>İşbu Yetki Belgesi, başta 5846 sayılı “Fikir ve Sanat Eserleri Kanunu”, “Fikir ve Sanat Eseri Sahipleri ile Bağlantılı Hak Sahipleri Meslek Birlikleri ve Federasyonları Hakkında Tüzük” ve “Meslek Birliklerine Verilecek Yetki Belgesi Hakkında Yönetmelik” (RG.07.11.2020/31297 sayı) olmak üzere ilgili mevzuatın tanıdığı haklar çerçevesinde, Meslek Birliğine üye olan Radyo ve Televizyon Kuruluşlarının haklarının korunmasını temin amacıyla tarafların uyacakları şartları belirleme maksadıyla ilgili kanun, tüzük ve yönetmeliklere uygun olarak Radyo Televizyon Yayıncıları Meslek Birliği ( Metin içinde kısaca RATEM olarak anılacaktır ) tarafından hazırlanmıştır.</w:t>
      </w:r>
      <w:proofErr w:type="gramEnd"/>
    </w:p>
    <w:p w:rsidR="00863C66" w:rsidRPr="002D1669" w:rsidRDefault="00863C66" w:rsidP="00863C66">
      <w:pPr>
        <w:spacing w:line="276" w:lineRule="auto"/>
        <w:rPr>
          <w:rFonts w:cs="Arial"/>
        </w:rPr>
      </w:pPr>
      <w:bookmarkStart w:id="0" w:name="_GoBack"/>
      <w:bookmarkEnd w:id="0"/>
    </w:p>
    <w:p w:rsidR="00863C66" w:rsidRPr="002D1669" w:rsidRDefault="00863C66" w:rsidP="00863C66">
      <w:pPr>
        <w:spacing w:line="276" w:lineRule="auto"/>
        <w:rPr>
          <w:rFonts w:cs="Arial"/>
          <w:b/>
          <w:bCs/>
        </w:rPr>
      </w:pPr>
      <w:r w:rsidRPr="002D1669">
        <w:rPr>
          <w:rFonts w:cs="Arial"/>
          <w:b/>
          <w:bCs/>
        </w:rPr>
        <w:t>YETKİ BELGESİ VEREN / ÜYE</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proofErr w:type="gramStart"/>
      <w:r w:rsidRPr="002D1669">
        <w:rPr>
          <w:rFonts w:cs="Arial"/>
        </w:rPr>
        <w:t>....................................................................................................................................................</w:t>
      </w:r>
      <w:proofErr w:type="gramEnd"/>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rPr>
        <w:t xml:space="preserve">Adres </w:t>
      </w:r>
      <w:proofErr w:type="gramStart"/>
      <w:r w:rsidRPr="002D1669">
        <w:rPr>
          <w:rFonts w:cs="Arial"/>
        </w:rPr>
        <w:t>:.........................................................................................................................................</w:t>
      </w:r>
      <w:proofErr w:type="gramEnd"/>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rPr>
        <w:t>( Metin içinde kısaca ÜYE olarak anılacaktır )</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b/>
        </w:rPr>
        <w:t>1.</w:t>
      </w:r>
      <w:r w:rsidRPr="002D1669">
        <w:rPr>
          <w:rFonts w:cs="Arial"/>
        </w:rPr>
        <w:t xml:space="preserve">Yetki Belgesi kapsamında </w:t>
      </w:r>
      <w:proofErr w:type="spellStart"/>
      <w:r w:rsidRPr="002D1669">
        <w:rPr>
          <w:rFonts w:cs="Arial"/>
        </w:rPr>
        <w:t>RATEM’e</w:t>
      </w:r>
      <w:proofErr w:type="spellEnd"/>
      <w:r w:rsidRPr="002D1669">
        <w:rPr>
          <w:rFonts w:cs="Arial"/>
        </w:rPr>
        <w:t xml:space="preserve"> tanınan hakkın kapsamı şöyledir:</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proofErr w:type="gramStart"/>
      <w:r w:rsidRPr="002D1669">
        <w:rPr>
          <w:rFonts w:cs="Arial"/>
        </w:rPr>
        <w:t xml:space="preserve">Yayınlarının umuma açık mahallerde iletiminin sağlanmasına izin verme veya yasaklama; tespit edilmiş yayınlarının, gerçek kişilerin seçtikleri yer ve zamanda yayınlarına ulaşılmasını sağlamak suretiyle umuma iletimine izin verme veya yasaklama ve ÜYE tarafından yapılacak bildirim doğrultusunda, mali haklarına tecavüz halinde 5846 sayılı Kanun ve işbu Yetki Belgesi’nden kaynaklanan hakları kendi adına kullanma yetkisi.  </w:t>
      </w:r>
      <w:proofErr w:type="gramEnd"/>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0E0E55">
        <w:rPr>
          <w:rFonts w:cs="Arial"/>
          <w:b/>
        </w:rPr>
        <w:t>2.</w:t>
      </w:r>
      <w:r w:rsidRPr="000E0E55">
        <w:rPr>
          <w:rFonts w:cs="Arial"/>
        </w:rPr>
        <w:t>ÜYE</w:t>
      </w:r>
      <w:r w:rsidRPr="002D1669">
        <w:rPr>
          <w:rFonts w:cs="Arial"/>
        </w:rPr>
        <w:t xml:space="preserve">, Yetki Belgesi’nde belirtilen haklarını, kısmen veya tamamen başkalarına devredebilir. Bu durumda Yetki Belgesi, </w:t>
      </w:r>
      <w:proofErr w:type="spellStart"/>
      <w:r w:rsidRPr="002D1669">
        <w:rPr>
          <w:rFonts w:cs="Arial"/>
        </w:rPr>
        <w:t>RATEM’e</w:t>
      </w:r>
      <w:proofErr w:type="spellEnd"/>
      <w:r w:rsidRPr="002D1669">
        <w:rPr>
          <w:rFonts w:cs="Arial"/>
        </w:rPr>
        <w:t xml:space="preserve"> bildirilen tarih itibariyle devredilen haklar bakımından feshedilmiş sayılır.</w:t>
      </w:r>
    </w:p>
    <w:p w:rsidR="00863C66" w:rsidRPr="002D1669" w:rsidRDefault="00863C66" w:rsidP="00863C66">
      <w:pPr>
        <w:spacing w:line="276" w:lineRule="auto"/>
        <w:rPr>
          <w:rFonts w:cs="Arial"/>
        </w:rPr>
      </w:pPr>
      <w:r w:rsidRPr="002D1669">
        <w:rPr>
          <w:rFonts w:cs="Arial"/>
        </w:rPr>
        <w:t xml:space="preserve">Ayrıca ÜYE, yayınlarının umuma açık mahallerde iletiminin sağlanmasına izin verme veya yasaklama hakkı haricinde </w:t>
      </w:r>
      <w:proofErr w:type="spellStart"/>
      <w:r w:rsidRPr="002D1669">
        <w:rPr>
          <w:rFonts w:cs="Arial"/>
        </w:rPr>
        <w:t>RATEM’e</w:t>
      </w:r>
      <w:proofErr w:type="spellEnd"/>
      <w:r w:rsidRPr="002D1669">
        <w:rPr>
          <w:rFonts w:cs="Arial"/>
        </w:rPr>
        <w:t xml:space="preserve"> işbu yetki belgesi ve/veya yetki belgesi süreci içinde tanıyacağı mali hakları kendi kullanmak isterse, </w:t>
      </w:r>
      <w:proofErr w:type="spellStart"/>
      <w:r w:rsidRPr="002D1669">
        <w:rPr>
          <w:rFonts w:cs="Arial"/>
        </w:rPr>
        <w:t>RATEM’e</w:t>
      </w:r>
      <w:proofErr w:type="spellEnd"/>
      <w:r w:rsidRPr="002D1669">
        <w:rPr>
          <w:rFonts w:cs="Arial"/>
        </w:rPr>
        <w:t xml:space="preserve"> yapılacak yazılı bildirim tarihinden geçerli olmak üzere, anılan hakları kendi kullanabilir. </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proofErr w:type="spellStart"/>
      <w:r w:rsidRPr="002D1669">
        <w:rPr>
          <w:rFonts w:cs="Arial"/>
        </w:rPr>
        <w:t>ÜYE’nin</w:t>
      </w:r>
      <w:proofErr w:type="spellEnd"/>
      <w:r w:rsidRPr="002D1669">
        <w:rPr>
          <w:rFonts w:cs="Arial"/>
        </w:rPr>
        <w:t xml:space="preserve"> ticari olmayan kullanım izinleri Yetki Belgesi kapsamında verilen hakların konusu dışındadır. </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b/>
        </w:rPr>
        <w:t>3.</w:t>
      </w:r>
      <w:r w:rsidRPr="002D1669">
        <w:rPr>
          <w:rFonts w:cs="Arial"/>
        </w:rPr>
        <w:t>ÜYE, aşağıdaki hususları kabul ve taahhüt eder:</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rPr>
        <w:t>a) Fikir ve Sanat Eseri Sahipleri ile Bağlantılı Hak Sahipleri Meslek Birlikleri ve Federasyonları Hakkında Tüzük, RATEM Tüzüğü ve yetki belgesiyle verilen yükümlülükleri yerine getirmeyi, meslek birliğinin dağıtım yönergesine uymayı,</w:t>
      </w:r>
    </w:p>
    <w:p w:rsidR="00863C66" w:rsidRPr="002D1669" w:rsidRDefault="00863C66" w:rsidP="00863C66">
      <w:pPr>
        <w:spacing w:line="276" w:lineRule="auto"/>
        <w:rPr>
          <w:rFonts w:cs="Arial"/>
        </w:rPr>
      </w:pPr>
      <w:r w:rsidRPr="002D1669">
        <w:rPr>
          <w:rFonts w:cs="Arial"/>
        </w:rPr>
        <w:t>b) Meslek birliği kesintisini ve birlik aidatını ödemeyi,</w:t>
      </w:r>
    </w:p>
    <w:p w:rsidR="00863C66" w:rsidRPr="002D1669" w:rsidRDefault="00863C66" w:rsidP="00863C66">
      <w:pPr>
        <w:spacing w:line="276" w:lineRule="auto"/>
        <w:rPr>
          <w:rFonts w:cs="Arial"/>
        </w:rPr>
      </w:pPr>
      <w:r w:rsidRPr="002D1669">
        <w:rPr>
          <w:rFonts w:cs="Arial"/>
        </w:rPr>
        <w:t>c) Yetki belgesine konu mali hakları başkasına devrettiği takdirde meslek birliğine bildirmeyi,</w:t>
      </w:r>
    </w:p>
    <w:p w:rsidR="00863C66" w:rsidRPr="002D1669" w:rsidRDefault="00863C66" w:rsidP="00863C66">
      <w:pPr>
        <w:spacing w:line="276" w:lineRule="auto"/>
        <w:rPr>
          <w:rFonts w:cs="Arial"/>
        </w:rPr>
      </w:pPr>
      <w:r w:rsidRPr="002D1669">
        <w:rPr>
          <w:rFonts w:cs="Arial"/>
        </w:rPr>
        <w:lastRenderedPageBreak/>
        <w:t>d) Meslek birliğinin, yetki belgesine konu hakları kullanmak isteyen gerçek ve tüzel kişilere kendisine bildirmeksizin kullanım izni vermeye yetkili olduğunu,</w:t>
      </w:r>
    </w:p>
    <w:p w:rsidR="00863C66" w:rsidRPr="002D1669" w:rsidRDefault="00863C66" w:rsidP="00863C66">
      <w:pPr>
        <w:spacing w:line="276" w:lineRule="auto"/>
        <w:rPr>
          <w:rFonts w:cs="Arial"/>
        </w:rPr>
      </w:pPr>
      <w:r w:rsidRPr="002D1669">
        <w:rPr>
          <w:rFonts w:cs="Arial"/>
        </w:rPr>
        <w:t xml:space="preserve">e)Fiili yayına geçici veya tamamen son vermesi ve/veya yayının resmi merciler tarafından geçici veya tamamen durdurulması hallerinde </w:t>
      </w:r>
      <w:proofErr w:type="spellStart"/>
      <w:r w:rsidRPr="002D1669">
        <w:rPr>
          <w:rFonts w:cs="Arial"/>
        </w:rPr>
        <w:t>RATEM’e</w:t>
      </w:r>
      <w:proofErr w:type="spellEnd"/>
      <w:r w:rsidRPr="002D1669">
        <w:rPr>
          <w:rFonts w:cs="Arial"/>
        </w:rPr>
        <w:t xml:space="preserve"> bildirmeyi;</w:t>
      </w:r>
    </w:p>
    <w:p w:rsidR="00863C66" w:rsidRPr="002D1669" w:rsidRDefault="00863C66" w:rsidP="00863C66">
      <w:pPr>
        <w:spacing w:line="276" w:lineRule="auto"/>
        <w:rPr>
          <w:rFonts w:cs="Arial"/>
        </w:rPr>
      </w:pPr>
      <w:r w:rsidRPr="002D1669">
        <w:rPr>
          <w:rFonts w:cs="Arial"/>
        </w:rPr>
        <w:t>f)İşbu Yetki Belgesi ile verilen hakların takibiyle ilgili olarak, RATEM tarafından talep edildiğinde, ilgili yayın kopyalarını iletmeyi,</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b/>
        </w:rPr>
        <w:t>4.</w:t>
      </w:r>
      <w:r w:rsidRPr="002D1669">
        <w:rPr>
          <w:rFonts w:cs="Arial"/>
        </w:rPr>
        <w:t xml:space="preserve">RATEM, ÜYE tarafından verilen Yetki Belgesi’ne konu hakları kendi adına kullanmaya, üçüncü kişilere kullandırmaya, kullanmaktan men etmeye, kullanımlar karşılığında ödenen ücreti teslim almaya, bu hakların takibi ve tahsili için her türlü </w:t>
      </w:r>
      <w:proofErr w:type="spellStart"/>
      <w:r w:rsidRPr="002D1669">
        <w:rPr>
          <w:rFonts w:cs="Arial"/>
        </w:rPr>
        <w:t>kazai</w:t>
      </w:r>
      <w:proofErr w:type="spellEnd"/>
      <w:r w:rsidRPr="002D1669">
        <w:rPr>
          <w:rFonts w:cs="Arial"/>
        </w:rPr>
        <w:t xml:space="preserve">, idari ve </w:t>
      </w:r>
      <w:proofErr w:type="spellStart"/>
      <w:r w:rsidRPr="002D1669">
        <w:rPr>
          <w:rFonts w:cs="Arial"/>
        </w:rPr>
        <w:t>icrai</w:t>
      </w:r>
      <w:proofErr w:type="spellEnd"/>
      <w:r w:rsidRPr="002D1669">
        <w:rPr>
          <w:rFonts w:cs="Arial"/>
        </w:rPr>
        <w:t xml:space="preserve"> yollara müracaat etmeye ve takip etmeye yetkilidir.</w:t>
      </w:r>
    </w:p>
    <w:p w:rsidR="00863C66" w:rsidRPr="002D1669" w:rsidRDefault="00863C66" w:rsidP="00863C66">
      <w:pPr>
        <w:spacing w:line="276" w:lineRule="auto"/>
        <w:rPr>
          <w:rFonts w:cs="Arial"/>
        </w:rPr>
      </w:pPr>
    </w:p>
    <w:p w:rsidR="00863C66" w:rsidRDefault="00863C66" w:rsidP="00863C66">
      <w:pPr>
        <w:spacing w:line="276" w:lineRule="auto"/>
        <w:rPr>
          <w:rFonts w:cs="Arial"/>
        </w:rPr>
      </w:pPr>
      <w:r w:rsidRPr="002D1669">
        <w:rPr>
          <w:rFonts w:cs="Arial"/>
        </w:rPr>
        <w:t>RATEM, yetki belgesine konu hakları tam ruhsat şeklinde kullanma yetkisine sahip olup, bu hakların idaresi ve takibi, telif ücretlerinin tahsili ve dağıtımı konularında münhasıran yetkilidir.</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b/>
        </w:rPr>
        <w:t>5.</w:t>
      </w:r>
      <w:r w:rsidRPr="002D1669">
        <w:rPr>
          <w:rFonts w:cs="Arial"/>
        </w:rPr>
        <w:t>ÜYE, Yetki belgesine konu mali haklarının kullanım yetkisini beş yıl süre ile münhasıran meslek birliğine devretmiş olup; yetki belgesindeki sürenin sona ermesinden bir yıl önce noter aracılığıyla aksi yönde bildirim yapılmadığı takdirde bir defaya mahsus olmak üzere yetki süresinin aynı süre için uzatılmış sayılır.</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b/>
        </w:rPr>
        <w:t>6.</w:t>
      </w:r>
      <w:r w:rsidRPr="002D1669">
        <w:rPr>
          <w:rFonts w:cs="Arial"/>
        </w:rPr>
        <w:t xml:space="preserve">ÜYE, en geç altı ay öncesinden noter aracılığıyla bildirmek kaydıyla yetki belgesini feshedebilir. Bu durumda, fesih, </w:t>
      </w:r>
      <w:proofErr w:type="spellStart"/>
      <w:r w:rsidRPr="002D1669">
        <w:rPr>
          <w:rFonts w:cs="Arial"/>
        </w:rPr>
        <w:t>RATEM’e</w:t>
      </w:r>
      <w:proofErr w:type="spellEnd"/>
      <w:r w:rsidRPr="002D1669">
        <w:rPr>
          <w:rFonts w:cs="Arial"/>
        </w:rPr>
        <w:t xml:space="preserve"> ulaştığı tarih esas alınarak, o yılın 31 Aralık tarihi itibariyle sona ermiş sayılır. </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proofErr w:type="gramStart"/>
      <w:r w:rsidRPr="002D1669">
        <w:rPr>
          <w:rFonts w:cs="Arial"/>
          <w:b/>
        </w:rPr>
        <w:t>7.</w:t>
      </w:r>
      <w:r w:rsidRPr="000E0E55">
        <w:rPr>
          <w:rFonts w:cs="Arial"/>
        </w:rPr>
        <w:t xml:space="preserve">RATEM, 6698 sayılı Kişisel Verilerin Korunması Kanunu (“KVKK”) gereğince kişisel veri olarak nitelendirilen ve ÜYE tarafından işbu Yetki Belgesi ve bu doğrultuda </w:t>
      </w:r>
      <w:proofErr w:type="spellStart"/>
      <w:r w:rsidRPr="000E0E55">
        <w:rPr>
          <w:rFonts w:cs="Arial"/>
        </w:rPr>
        <w:t>ÜYE’lik</w:t>
      </w:r>
      <w:proofErr w:type="spellEnd"/>
      <w:r w:rsidRPr="000E0E55">
        <w:rPr>
          <w:rFonts w:cs="Arial"/>
        </w:rPr>
        <w:t xml:space="preserve"> ilişkisi kapsamında kendisiyle paylaşılan, </w:t>
      </w:r>
      <w:proofErr w:type="spellStart"/>
      <w:r w:rsidRPr="000E0E55">
        <w:rPr>
          <w:rFonts w:cs="Arial"/>
        </w:rPr>
        <w:t>ÜYE’nin</w:t>
      </w:r>
      <w:proofErr w:type="spellEnd"/>
      <w:r w:rsidRPr="000E0E55">
        <w:rPr>
          <w:rFonts w:cs="Arial"/>
        </w:rPr>
        <w:t xml:space="preserve"> çalışanları ve </w:t>
      </w:r>
      <w:proofErr w:type="spellStart"/>
      <w:r w:rsidRPr="000E0E55">
        <w:rPr>
          <w:rFonts w:cs="Arial"/>
        </w:rPr>
        <w:t>ÜYE’nin</w:t>
      </w:r>
      <w:proofErr w:type="spellEnd"/>
      <w:r w:rsidRPr="000E0E55">
        <w:rPr>
          <w:rFonts w:cs="Arial"/>
        </w:rPr>
        <w:t xml:space="preserve"> yetkili temsilcisine ilişkin kişisel verileri, Yetki Belgesi uyarınca sahip olduğu hak ve yetkilerini kullanmak, meslek birliği olarak faaliyetlerini gerç</w:t>
      </w:r>
      <w:r w:rsidRPr="002D1669">
        <w:rPr>
          <w:rFonts w:cs="Arial"/>
        </w:rPr>
        <w:t xml:space="preserve">ekleştirmek ve yasal yükümlülüklerini yerine getirmek amaçlarıyla kullanabilir, saklayabilir ve üçüncü kişilerle paylaşabilir. </w:t>
      </w:r>
      <w:proofErr w:type="gramEnd"/>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rPr>
        <w:t xml:space="preserve">RATEM, işbu Yetki Belgesi herhangi bir sebeple sona erse bile, belirtilen kişisel verileri, yasal yükümlülüklerini yerine getirmesi için gerekli sürelerin sonuna kadar saklamaya devam edecektir. Ayrıca RATEM, belirtilen kişisel verileri, ÜYE ile olası bir uyuşmazlık halinde yasal haklarını kullanabilmek için, ilgili zamanaşımı süreleri bitene kadar saklayabilecektir. </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b/>
        </w:rPr>
        <w:t>8.</w:t>
      </w:r>
      <w:r w:rsidRPr="002D1669">
        <w:rPr>
          <w:rFonts w:cs="Arial"/>
        </w:rPr>
        <w:t xml:space="preserve">Bu Yetki Belgesi’nde hüküm bulunmayan hallerde 5846 sayılı “Fikir ve Sanat Eserleri Kanunu”, “Fikir ve Sanat Eseri Sahipleri ile Bağlantılı Hak Sahipleri Meslek Birlikleri ve Federasyonları Hakkında Tüzük” ve “Meslek Birliklerine Verilecek Yetki Belgesi Hakkında Yönetmelik” hükümleri uygulanır. </w:t>
      </w:r>
    </w:p>
    <w:p w:rsidR="00863C66" w:rsidRPr="002D1669" w:rsidRDefault="00863C66" w:rsidP="00863C66">
      <w:pPr>
        <w:spacing w:line="276" w:lineRule="auto"/>
        <w:rPr>
          <w:rFonts w:cs="Arial"/>
        </w:rPr>
      </w:pPr>
    </w:p>
    <w:p w:rsidR="00863C66" w:rsidRPr="002D1669" w:rsidRDefault="00863C66" w:rsidP="00863C66">
      <w:pPr>
        <w:spacing w:line="276" w:lineRule="auto"/>
        <w:rPr>
          <w:rFonts w:cs="Arial"/>
        </w:rPr>
      </w:pPr>
      <w:r w:rsidRPr="002D1669">
        <w:rPr>
          <w:rFonts w:cs="Arial"/>
          <w:b/>
        </w:rPr>
        <w:t>9.</w:t>
      </w:r>
      <w:r w:rsidRPr="002D1669">
        <w:rPr>
          <w:rFonts w:cs="Arial"/>
        </w:rPr>
        <w:t xml:space="preserve">Bu Yetki Belgesi’nden kaynaklanacak ve/veya Üye ile RATEM arasında çıkabilecek her hangi bir uyuşmazlıkta İstanbul/Çağlayan Mahkemeleri yetkilidir. </w:t>
      </w:r>
    </w:p>
    <w:p w:rsidR="00863C66" w:rsidRPr="002D1669" w:rsidRDefault="00863C66" w:rsidP="00863C66">
      <w:pPr>
        <w:spacing w:line="276" w:lineRule="auto"/>
        <w:rPr>
          <w:rFonts w:cs="Arial"/>
        </w:rPr>
      </w:pPr>
    </w:p>
    <w:p w:rsidR="00863C66" w:rsidRPr="00E864E0" w:rsidRDefault="00863C66" w:rsidP="00863C66">
      <w:pPr>
        <w:rPr>
          <w:rFonts w:cs="Arial"/>
        </w:rPr>
      </w:pPr>
      <w:r>
        <w:tab/>
      </w:r>
      <w:r>
        <w:tab/>
      </w:r>
      <w:r>
        <w:tab/>
      </w:r>
      <w:r>
        <w:tab/>
      </w:r>
      <w:r>
        <w:tab/>
      </w:r>
      <w:r>
        <w:tab/>
      </w:r>
      <w:r>
        <w:tab/>
      </w:r>
      <w:r>
        <w:tab/>
      </w:r>
      <w:r>
        <w:tab/>
      </w:r>
      <w:r w:rsidRPr="00E864E0">
        <w:rPr>
          <w:rFonts w:cs="Arial"/>
        </w:rPr>
        <w:tab/>
        <w:t>ÜYE</w:t>
      </w:r>
    </w:p>
    <w:p w:rsidR="00863C66" w:rsidRPr="00E864E0" w:rsidRDefault="00863C66" w:rsidP="00863C66">
      <w:pPr>
        <w:rPr>
          <w:rFonts w:cs="Arial"/>
        </w:rPr>
      </w:pPr>
      <w:r w:rsidRPr="00E864E0">
        <w:rPr>
          <w:rFonts w:cs="Arial"/>
        </w:rPr>
        <w:tab/>
      </w:r>
      <w:r w:rsidRPr="00E864E0">
        <w:rPr>
          <w:rFonts w:cs="Arial"/>
        </w:rPr>
        <w:tab/>
      </w:r>
      <w:r w:rsidRPr="00E864E0">
        <w:rPr>
          <w:rFonts w:cs="Arial"/>
        </w:rPr>
        <w:tab/>
      </w:r>
      <w:r w:rsidRPr="00E864E0">
        <w:rPr>
          <w:rFonts w:cs="Arial"/>
        </w:rPr>
        <w:tab/>
      </w:r>
      <w:r w:rsidRPr="00E864E0">
        <w:rPr>
          <w:rFonts w:cs="Arial"/>
        </w:rPr>
        <w:tab/>
      </w:r>
      <w:r w:rsidRPr="00E864E0">
        <w:rPr>
          <w:rFonts w:cs="Arial"/>
        </w:rPr>
        <w:tab/>
      </w:r>
      <w:r w:rsidRPr="00E864E0">
        <w:rPr>
          <w:rFonts w:cs="Arial"/>
        </w:rPr>
        <w:tab/>
        <w:t xml:space="preserve">       </w:t>
      </w:r>
      <w:r>
        <w:rPr>
          <w:rFonts w:cs="Arial"/>
        </w:rPr>
        <w:t xml:space="preserve">           </w:t>
      </w:r>
      <w:r w:rsidRPr="00E864E0">
        <w:rPr>
          <w:rFonts w:cs="Arial"/>
        </w:rPr>
        <w:t xml:space="preserve">      (Tarih</w:t>
      </w:r>
      <w:r>
        <w:rPr>
          <w:rFonts w:cs="Arial"/>
        </w:rPr>
        <w:t xml:space="preserve"> </w:t>
      </w:r>
      <w:r w:rsidRPr="00E864E0">
        <w:rPr>
          <w:rFonts w:cs="Arial"/>
        </w:rPr>
        <w:t>/</w:t>
      </w:r>
      <w:r>
        <w:rPr>
          <w:rFonts w:cs="Arial"/>
        </w:rPr>
        <w:t xml:space="preserve"> </w:t>
      </w:r>
      <w:r w:rsidRPr="00E864E0">
        <w:rPr>
          <w:rFonts w:cs="Arial"/>
        </w:rPr>
        <w:t>Unvan</w:t>
      </w:r>
      <w:r>
        <w:rPr>
          <w:rFonts w:cs="Arial"/>
        </w:rPr>
        <w:t xml:space="preserve"> </w:t>
      </w:r>
      <w:r w:rsidRPr="00E864E0">
        <w:rPr>
          <w:rFonts w:cs="Arial"/>
        </w:rPr>
        <w:t>/</w:t>
      </w:r>
      <w:r>
        <w:rPr>
          <w:rFonts w:cs="Arial"/>
        </w:rPr>
        <w:t xml:space="preserve"> </w:t>
      </w:r>
      <w:r w:rsidRPr="00E864E0">
        <w:rPr>
          <w:rFonts w:cs="Arial"/>
        </w:rPr>
        <w:t>imza)</w:t>
      </w:r>
    </w:p>
    <w:p w:rsidR="00454C0E" w:rsidRDefault="00454C0E"/>
    <w:sectPr w:rsidR="00454C0E" w:rsidSect="00454C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A2"/>
    <w:family w:val="roman"/>
    <w:pitch w:val="variable"/>
    <w:sig w:usb0="E0002AFF" w:usb1="C0007841"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63C66"/>
    <w:rsid w:val="00393318"/>
    <w:rsid w:val="00454C0E"/>
    <w:rsid w:val="007D4659"/>
    <w:rsid w:val="00833E2A"/>
    <w:rsid w:val="00863C66"/>
    <w:rsid w:val="00BD77EE"/>
    <w:rsid w:val="00D34B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C66"/>
    <w:pPr>
      <w:spacing w:line="259" w:lineRule="auto"/>
      <w:jc w:val="both"/>
    </w:pPr>
    <w:rPr>
      <w:rFonts w:ascii="Arial" w:eastAsiaTheme="minorHAnsi" w:hAnsi="Arial" w:cstheme="minorBidi"/>
      <w:sz w:val="22"/>
      <w:szCs w:val="22"/>
      <w:lang w:eastAsia="en-US"/>
    </w:rPr>
  </w:style>
  <w:style w:type="paragraph" w:styleId="Balk1">
    <w:name w:val="heading 1"/>
    <w:basedOn w:val="Normal"/>
    <w:next w:val="Normal"/>
    <w:link w:val="Balk1Char"/>
    <w:qFormat/>
    <w:rsid w:val="00BD77EE"/>
    <w:pPr>
      <w:keepNext/>
      <w:spacing w:line="240" w:lineRule="auto"/>
      <w:jc w:val="left"/>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D77EE"/>
    <w:rPr>
      <w:rFonts w:ascii="Times New Roman" w:eastAsia="Times New Roman" w:hAnsi="Times New Roman"/>
      <w:b/>
      <w:bCs/>
      <w:sz w:val="24"/>
      <w:szCs w:val="24"/>
    </w:rPr>
  </w:style>
  <w:style w:type="paragraph" w:styleId="KonuBal">
    <w:name w:val="Title"/>
    <w:basedOn w:val="Normal"/>
    <w:link w:val="KonuBalChar"/>
    <w:qFormat/>
    <w:rsid w:val="00BD77EE"/>
    <w:pPr>
      <w:spacing w:line="240" w:lineRule="auto"/>
      <w:jc w:val="center"/>
    </w:pPr>
    <w:rPr>
      <w:rFonts w:ascii="Times New Roman" w:eastAsia="Times New Roman" w:hAnsi="Times New Roman" w:cs="Times New Roman"/>
      <w:b/>
      <w:bCs/>
      <w:sz w:val="32"/>
      <w:szCs w:val="24"/>
    </w:rPr>
  </w:style>
  <w:style w:type="character" w:customStyle="1" w:styleId="KonuBalChar">
    <w:name w:val="Konu Başlığı Char"/>
    <w:basedOn w:val="VarsaylanParagrafYazTipi"/>
    <w:link w:val="KonuBal"/>
    <w:rsid w:val="00BD77EE"/>
    <w:rPr>
      <w:rFonts w:ascii="Times New Roman" w:eastAsia="Times New Roman" w:hAnsi="Times New Roman"/>
      <w:b/>
      <w:bCs/>
      <w:sz w:val="32"/>
      <w:szCs w:val="24"/>
      <w:lang w:eastAsia="en-US"/>
    </w:rPr>
  </w:style>
  <w:style w:type="character" w:styleId="Gl">
    <w:name w:val="Strong"/>
    <w:uiPriority w:val="22"/>
    <w:qFormat/>
    <w:rsid w:val="00BD77EE"/>
    <w:rPr>
      <w:b/>
      <w:bCs/>
    </w:rPr>
  </w:style>
  <w:style w:type="paragraph" w:styleId="ListeParagraf">
    <w:name w:val="List Paragraph"/>
    <w:basedOn w:val="Normal"/>
    <w:uiPriority w:val="34"/>
    <w:qFormat/>
    <w:rsid w:val="00BD77EE"/>
    <w:pPr>
      <w:spacing w:after="200" w:line="276" w:lineRule="auto"/>
      <w:ind w:left="720"/>
      <w:contextualSpacing/>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2021-04-06T13:54:00Z</dcterms:created>
  <dcterms:modified xsi:type="dcterms:W3CDTF">2021-04-06T13:57:00Z</dcterms:modified>
</cp:coreProperties>
</file>